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4" w:rsidRDefault="009B41D3">
      <w:pPr>
        <w:pStyle w:val="Corpodetexto"/>
        <w:spacing w:before="78" w:line="285" w:lineRule="auto"/>
        <w:ind w:left="4604" w:right="4645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-204</wp:posOffset>
            </wp:positionV>
            <wp:extent cx="698005" cy="69342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0559D4" w:rsidRDefault="009B41D3">
      <w:pPr>
        <w:pStyle w:val="Corpodetexto"/>
        <w:spacing w:line="285" w:lineRule="auto"/>
        <w:ind w:left="5847" w:right="5901"/>
        <w:jc w:val="center"/>
      </w:pPr>
      <w:r>
        <w:t>ANEXO DE RISCOS FISCAIS ANEXO IV</w:t>
      </w:r>
    </w:p>
    <w:p w:rsidR="000559D4" w:rsidRDefault="009B41D3">
      <w:pPr>
        <w:pStyle w:val="Corpodetexto"/>
        <w:spacing w:line="285" w:lineRule="auto"/>
        <w:ind w:left="5081" w:right="5137"/>
        <w:jc w:val="center"/>
      </w:pPr>
      <w:r>
        <w:t>Demonstrativo de Riscos Fiscais e Providências 2021</w:t>
      </w:r>
    </w:p>
    <w:p w:rsidR="000559D4" w:rsidRDefault="000559D4">
      <w:pPr>
        <w:spacing w:before="11"/>
        <w:rPr>
          <w:b/>
          <w:sz w:val="8"/>
        </w:rPr>
      </w:pPr>
    </w:p>
    <w:p w:rsidR="000559D4" w:rsidRDefault="009B41D3">
      <w:pPr>
        <w:tabs>
          <w:tab w:val="left" w:pos="13168"/>
        </w:tabs>
        <w:spacing w:before="95" w:after="36"/>
        <w:ind w:left="134"/>
        <w:rPr>
          <w:sz w:val="16"/>
        </w:rPr>
      </w:pPr>
      <w:r>
        <w:rPr>
          <w:sz w:val="16"/>
        </w:rPr>
        <w:t>(LRF, art. 4º,</w:t>
      </w:r>
      <w:r>
        <w:rPr>
          <w:spacing w:val="1"/>
          <w:sz w:val="16"/>
        </w:rPr>
        <w:t xml:space="preserve"> </w:t>
      </w:r>
      <w:r>
        <w:rPr>
          <w:sz w:val="16"/>
        </w:rPr>
        <w:t>§</w:t>
      </w:r>
      <w:r>
        <w:rPr>
          <w:spacing w:val="-1"/>
          <w:sz w:val="16"/>
        </w:rPr>
        <w:t xml:space="preserve"> </w:t>
      </w:r>
      <w:r>
        <w:rPr>
          <w:sz w:val="16"/>
        </w:rPr>
        <w:t>3º)</w:t>
      </w:r>
      <w:r>
        <w:rPr>
          <w:sz w:val="16"/>
        </w:rPr>
        <w:tab/>
        <w:t>R$ 1,00</w:t>
      </w: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04"/>
        <w:gridCol w:w="1750"/>
        <w:gridCol w:w="4810"/>
        <w:gridCol w:w="1596"/>
      </w:tblGrid>
      <w:tr w:rsidR="000559D4">
        <w:trPr>
          <w:trHeight w:val="187"/>
        </w:trPr>
        <w:tc>
          <w:tcPr>
            <w:tcW w:w="7254" w:type="dxa"/>
            <w:gridSpan w:val="2"/>
            <w:tcBorders>
              <w:left w:val="nil"/>
            </w:tcBorders>
          </w:tcPr>
          <w:p w:rsidR="000559D4" w:rsidRDefault="009B41D3">
            <w:pPr>
              <w:pStyle w:val="TableParagraph"/>
              <w:ind w:left="2540" w:right="25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PASSIVOS CONTINGENTES</w:t>
            </w:r>
          </w:p>
        </w:tc>
        <w:tc>
          <w:tcPr>
            <w:tcW w:w="6406" w:type="dxa"/>
            <w:gridSpan w:val="2"/>
            <w:tcBorders>
              <w:right w:val="nil"/>
            </w:tcBorders>
          </w:tcPr>
          <w:p w:rsidR="000559D4" w:rsidRDefault="009B41D3">
            <w:pPr>
              <w:pStyle w:val="TableParagraph"/>
              <w:ind w:left="2551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PROVIDÊNCIAS</w:t>
            </w:r>
          </w:p>
        </w:tc>
      </w:tr>
      <w:tr w:rsidR="000559D4">
        <w:trPr>
          <w:trHeight w:val="188"/>
        </w:trPr>
        <w:tc>
          <w:tcPr>
            <w:tcW w:w="5504" w:type="dxa"/>
            <w:tcBorders>
              <w:left w:val="nil"/>
            </w:tcBorders>
          </w:tcPr>
          <w:p w:rsidR="000559D4" w:rsidRDefault="009B41D3">
            <w:pPr>
              <w:pStyle w:val="TableParagraph"/>
              <w:spacing w:line="139" w:lineRule="exact"/>
              <w:ind w:left="2350" w:right="2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750" w:type="dxa"/>
          </w:tcPr>
          <w:p w:rsidR="000559D4" w:rsidRDefault="009B41D3">
            <w:pPr>
              <w:pStyle w:val="TableParagraph"/>
              <w:spacing w:line="139" w:lineRule="exact"/>
              <w:ind w:left="632" w:right="6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4810" w:type="dxa"/>
          </w:tcPr>
          <w:p w:rsidR="000559D4" w:rsidRDefault="009B41D3">
            <w:pPr>
              <w:pStyle w:val="TableParagraph"/>
              <w:spacing w:line="139" w:lineRule="exact"/>
              <w:ind w:left="1980" w:right="1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96" w:type="dxa"/>
            <w:tcBorders>
              <w:right w:val="nil"/>
            </w:tcBorders>
          </w:tcPr>
          <w:p w:rsidR="000559D4" w:rsidRDefault="009B41D3">
            <w:pPr>
              <w:pStyle w:val="TableParagraph"/>
              <w:spacing w:line="139" w:lineRule="exact"/>
              <w:ind w:left="557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0559D4">
        <w:trPr>
          <w:trHeight w:val="185"/>
        </w:trPr>
        <w:tc>
          <w:tcPr>
            <w:tcW w:w="5504" w:type="dxa"/>
            <w:tcBorders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Demandas Judiciais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4810" w:type="dxa"/>
            <w:tcBorders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left="10"/>
              <w:rPr>
                <w:sz w:val="16"/>
              </w:rPr>
            </w:pPr>
            <w:r>
              <w:rPr>
                <w:sz w:val="16"/>
              </w:rPr>
              <w:t>Reserva de Contingência</w:t>
            </w:r>
          </w:p>
        </w:tc>
        <w:tc>
          <w:tcPr>
            <w:tcW w:w="1596" w:type="dxa"/>
            <w:tcBorders>
              <w:bottom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line="166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Dívidas em Processo de Reconhecimento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Reserva de Contingência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before="5" w:line="17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Avais e Garantias Concedidas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Assunção de Passivos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Assistências Diversas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559D4">
        <w:trPr>
          <w:trHeight w:val="200"/>
        </w:trPr>
        <w:tc>
          <w:tcPr>
            <w:tcW w:w="5504" w:type="dxa"/>
            <w:tcBorders>
              <w:top w:val="single" w:sz="8" w:space="0" w:color="000000"/>
              <w:left w:val="nil"/>
            </w:tcBorders>
          </w:tcPr>
          <w:p w:rsidR="000559D4" w:rsidRDefault="009B41D3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Outros Passivos Contingentes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0559D4" w:rsidRDefault="009B41D3"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4810" w:type="dxa"/>
            <w:tcBorders>
              <w:top w:val="single" w:sz="8" w:space="0" w:color="000000"/>
            </w:tcBorders>
          </w:tcPr>
          <w:p w:rsidR="000559D4" w:rsidRDefault="009B41D3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Limitação de Empenho</w:t>
            </w:r>
          </w:p>
        </w:tc>
        <w:tc>
          <w:tcPr>
            <w:tcW w:w="1596" w:type="dxa"/>
            <w:tcBorders>
              <w:top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0559D4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0559D4" w:rsidRDefault="009B41D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750" w:type="dxa"/>
            <w:shd w:val="clear" w:color="auto" w:fill="959595"/>
          </w:tcPr>
          <w:p w:rsidR="000559D4" w:rsidRDefault="009B41D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4810" w:type="dxa"/>
          </w:tcPr>
          <w:p w:rsidR="000559D4" w:rsidRDefault="009B41D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0559D4" w:rsidRDefault="009B41D3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 w:rsidR="000559D4" w:rsidRDefault="000559D4">
      <w:pPr>
        <w:rPr>
          <w:sz w:val="20"/>
        </w:rPr>
      </w:pPr>
    </w:p>
    <w:p w:rsidR="000559D4" w:rsidRDefault="000559D4">
      <w:pPr>
        <w:spacing w:before="10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04"/>
        <w:gridCol w:w="1750"/>
        <w:gridCol w:w="4810"/>
        <w:gridCol w:w="1596"/>
      </w:tblGrid>
      <w:tr w:rsidR="000559D4">
        <w:trPr>
          <w:trHeight w:val="188"/>
        </w:trPr>
        <w:tc>
          <w:tcPr>
            <w:tcW w:w="7254" w:type="dxa"/>
            <w:gridSpan w:val="2"/>
            <w:tcBorders>
              <w:left w:val="nil"/>
            </w:tcBorders>
          </w:tcPr>
          <w:p w:rsidR="000559D4" w:rsidRDefault="009B41D3">
            <w:pPr>
              <w:pStyle w:val="TableParagraph"/>
              <w:ind w:left="1924"/>
              <w:rPr>
                <w:b/>
                <w:sz w:val="16"/>
              </w:rPr>
            </w:pPr>
            <w:r>
              <w:rPr>
                <w:b/>
                <w:sz w:val="16"/>
              </w:rPr>
              <w:t>RISCOS E EVENTOS FISCAIS IMPREVISTOS</w:t>
            </w:r>
          </w:p>
        </w:tc>
        <w:tc>
          <w:tcPr>
            <w:tcW w:w="6406" w:type="dxa"/>
            <w:gridSpan w:val="2"/>
            <w:tcBorders>
              <w:right w:val="nil"/>
            </w:tcBorders>
          </w:tcPr>
          <w:p w:rsidR="000559D4" w:rsidRDefault="009B41D3">
            <w:pPr>
              <w:pStyle w:val="TableParagraph"/>
              <w:ind w:left="2551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PROVIDÊNCIAS</w:t>
            </w:r>
          </w:p>
        </w:tc>
      </w:tr>
      <w:tr w:rsidR="000559D4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0559D4" w:rsidRDefault="009B41D3">
            <w:pPr>
              <w:pStyle w:val="TableParagraph"/>
              <w:spacing w:line="139" w:lineRule="exact"/>
              <w:ind w:left="2350" w:right="2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750" w:type="dxa"/>
          </w:tcPr>
          <w:p w:rsidR="000559D4" w:rsidRDefault="009B41D3">
            <w:pPr>
              <w:pStyle w:val="TableParagraph"/>
              <w:spacing w:line="139" w:lineRule="exact"/>
              <w:ind w:left="632" w:right="6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4810" w:type="dxa"/>
          </w:tcPr>
          <w:p w:rsidR="000559D4" w:rsidRDefault="009B41D3">
            <w:pPr>
              <w:pStyle w:val="TableParagraph"/>
              <w:spacing w:line="139" w:lineRule="exact"/>
              <w:ind w:left="1980" w:right="1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96" w:type="dxa"/>
            <w:tcBorders>
              <w:right w:val="nil"/>
            </w:tcBorders>
          </w:tcPr>
          <w:p w:rsidR="000559D4" w:rsidRDefault="009B41D3">
            <w:pPr>
              <w:pStyle w:val="TableParagraph"/>
              <w:spacing w:line="139" w:lineRule="exact"/>
              <w:ind w:left="557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0559D4">
        <w:trPr>
          <w:trHeight w:val="185"/>
        </w:trPr>
        <w:tc>
          <w:tcPr>
            <w:tcW w:w="5504" w:type="dxa"/>
            <w:tcBorders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Frustração de Arrecadação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4810" w:type="dxa"/>
            <w:tcBorders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line="166" w:lineRule="exact"/>
              <w:ind w:left="10"/>
              <w:rPr>
                <w:sz w:val="16"/>
              </w:rPr>
            </w:pPr>
            <w:r>
              <w:rPr>
                <w:sz w:val="16"/>
              </w:rPr>
              <w:t>Limitação de Empenho</w:t>
            </w:r>
          </w:p>
        </w:tc>
        <w:tc>
          <w:tcPr>
            <w:tcW w:w="1596" w:type="dxa"/>
            <w:tcBorders>
              <w:bottom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line="166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Restituição de Tributo a Maior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Limitação de Empenho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before="5" w:line="17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0559D4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559D4" w:rsidRDefault="009B41D3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Discrepância de Projeções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559D4" w:rsidRDefault="000559D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559D4">
        <w:trPr>
          <w:trHeight w:val="200"/>
        </w:trPr>
        <w:tc>
          <w:tcPr>
            <w:tcW w:w="5504" w:type="dxa"/>
            <w:tcBorders>
              <w:top w:val="single" w:sz="8" w:space="0" w:color="000000"/>
              <w:left w:val="nil"/>
            </w:tcBorders>
          </w:tcPr>
          <w:p w:rsidR="000559D4" w:rsidRDefault="009B41D3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Outros Riscos Fiscais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0559D4" w:rsidRDefault="009B41D3"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4810" w:type="dxa"/>
            <w:tcBorders>
              <w:top w:val="single" w:sz="8" w:space="0" w:color="000000"/>
            </w:tcBorders>
          </w:tcPr>
          <w:p w:rsidR="000559D4" w:rsidRDefault="009B41D3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Limitação de Empenho</w:t>
            </w:r>
          </w:p>
        </w:tc>
        <w:tc>
          <w:tcPr>
            <w:tcW w:w="1596" w:type="dxa"/>
            <w:tcBorders>
              <w:top w:val="single" w:sz="8" w:space="0" w:color="000000"/>
              <w:right w:val="nil"/>
            </w:tcBorders>
          </w:tcPr>
          <w:p w:rsidR="000559D4" w:rsidRDefault="009B41D3"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0559D4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0559D4" w:rsidRDefault="009B41D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750" w:type="dxa"/>
            <w:shd w:val="clear" w:color="auto" w:fill="959595"/>
          </w:tcPr>
          <w:p w:rsidR="000559D4" w:rsidRDefault="009B41D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4810" w:type="dxa"/>
          </w:tcPr>
          <w:p w:rsidR="000559D4" w:rsidRDefault="009B41D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0559D4" w:rsidRDefault="009B41D3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0559D4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0559D4" w:rsidRDefault="009B41D3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50" w:type="dxa"/>
            <w:shd w:val="clear" w:color="auto" w:fill="959595"/>
          </w:tcPr>
          <w:p w:rsidR="000559D4" w:rsidRDefault="009B41D3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4810" w:type="dxa"/>
          </w:tcPr>
          <w:p w:rsidR="000559D4" w:rsidRDefault="009B41D3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0559D4" w:rsidRDefault="009B41D3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</w:tbl>
    <w:p w:rsidR="000559D4" w:rsidRDefault="009B41D3">
      <w:pPr>
        <w:pStyle w:val="Corpodetexto"/>
        <w:ind w:left="134"/>
      </w:pPr>
      <w:r>
        <w:t>FONTE: Planejamento - LDO 2.027/001, Secretaria Municipal de Administração, Planejamento e Fazenda, 03/08/2020, 11:21:01</w:t>
      </w:r>
    </w:p>
    <w:p w:rsidR="000559D4" w:rsidRDefault="000559D4">
      <w:pPr>
        <w:spacing w:before="7"/>
        <w:rPr>
          <w:b/>
          <w:sz w:val="12"/>
        </w:rPr>
      </w:pPr>
    </w:p>
    <w:p w:rsidR="000559D4" w:rsidRDefault="009B41D3">
      <w:pPr>
        <w:spacing w:before="96" w:line="583" w:lineRule="auto"/>
        <w:ind w:left="134" w:right="1578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O Demonstrativo de Riscos Fiscais e Providências fora projetado para previnir eventuais e intempestivos desiquilíbrios orçamentá</w:t>
      </w:r>
      <w:r>
        <w:rPr>
          <w:sz w:val="16"/>
        </w:rPr>
        <w:t>rios e financeiros no Exercício. Boa Vista do Cadeado - RS, 03 de agosto de 2020.</w:t>
      </w:r>
    </w:p>
    <w:p w:rsidR="000559D4" w:rsidRDefault="000559D4">
      <w:pPr>
        <w:rPr>
          <w:sz w:val="18"/>
        </w:rPr>
      </w:pPr>
    </w:p>
    <w:p w:rsidR="000559D4" w:rsidRDefault="000559D4">
      <w:pPr>
        <w:spacing w:before="11"/>
        <w:rPr>
          <w:sz w:val="18"/>
        </w:rPr>
      </w:pPr>
    </w:p>
    <w:p w:rsidR="000559D4" w:rsidRDefault="009B41D3">
      <w:pPr>
        <w:pStyle w:val="Heading1"/>
        <w:tabs>
          <w:tab w:val="left" w:pos="4274"/>
        </w:tabs>
      </w:pPr>
      <w:r>
        <w:t>Fabio</w:t>
      </w:r>
      <w:r>
        <w:rPr>
          <w:spacing w:val="-1"/>
        </w:rPr>
        <w:t xml:space="preserve"> </w:t>
      </w:r>
      <w:r>
        <w:t>Mayer</w:t>
      </w:r>
      <w:r>
        <w:rPr>
          <w:spacing w:val="-2"/>
        </w:rPr>
        <w:t xml:space="preserve"> </w:t>
      </w:r>
      <w:r>
        <w:t>Barasuol,</w:t>
      </w:r>
      <w:r>
        <w:tab/>
        <w:t>Vanessa dos Santos Xavier Padilha,</w:t>
      </w:r>
    </w:p>
    <w:p w:rsidR="000559D4" w:rsidRDefault="009B41D3">
      <w:pPr>
        <w:tabs>
          <w:tab w:val="left" w:pos="4344"/>
        </w:tabs>
        <w:spacing w:before="26"/>
        <w:ind w:right="304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Prefeito Municipal,</w:t>
      </w:r>
      <w:r>
        <w:rPr>
          <w:rFonts w:ascii="Times New Roman"/>
          <w:sz w:val="18"/>
        </w:rPr>
        <w:tab/>
        <w:t>Sec. Admin, Planej 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Fazenda.</w:t>
      </w:r>
    </w:p>
    <w:p w:rsidR="000559D4" w:rsidRDefault="000559D4">
      <w:pPr>
        <w:pStyle w:val="Corpodetexto"/>
        <w:rPr>
          <w:rFonts w:ascii="Times New Roman"/>
          <w:b w:val="0"/>
          <w:sz w:val="20"/>
        </w:rPr>
      </w:pPr>
    </w:p>
    <w:p w:rsidR="000559D4" w:rsidRDefault="000559D4">
      <w:pPr>
        <w:pStyle w:val="Corpodetexto"/>
        <w:spacing w:before="3"/>
        <w:rPr>
          <w:rFonts w:ascii="Times New Roman"/>
          <w:b w:val="0"/>
          <w:sz w:val="20"/>
        </w:rPr>
      </w:pPr>
    </w:p>
    <w:p w:rsidR="000559D4" w:rsidRDefault="009B41D3">
      <w:pPr>
        <w:spacing w:line="268" w:lineRule="auto"/>
        <w:ind w:left="1457" w:right="10013" w:firstLine="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Fabio da Silva Weischung, Tec. Contábil CRC/RS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076956-7.</w:t>
      </w:r>
    </w:p>
    <w:sectPr w:rsidR="000559D4" w:rsidSect="000559D4">
      <w:type w:val="continuous"/>
      <w:pgSz w:w="16840" w:h="11910" w:orient="landscape"/>
      <w:pgMar w:top="980" w:right="16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559D4"/>
    <w:rsid w:val="000559D4"/>
    <w:rsid w:val="009B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9D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59D4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0559D4"/>
    <w:pPr>
      <w:ind w:right="2980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  <w:rsid w:val="000559D4"/>
  </w:style>
  <w:style w:type="paragraph" w:customStyle="1" w:styleId="TableParagraph">
    <w:name w:val="Table Paragraph"/>
    <w:basedOn w:val="Normal"/>
    <w:uiPriority w:val="1"/>
    <w:qFormat/>
    <w:rsid w:val="000559D4"/>
    <w:pPr>
      <w:spacing w:line="1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2020-09-01T17:21:00Z</dcterms:created>
  <dcterms:modified xsi:type="dcterms:W3CDTF">2020-09-01T17:21:00Z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