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C" w:rsidRDefault="00FB0322">
      <w:pPr>
        <w:pStyle w:val="Corpodetexto"/>
        <w:spacing w:before="66" w:line="372" w:lineRule="auto"/>
        <w:ind w:right="5204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1589532</wp:posOffset>
            </wp:positionH>
            <wp:positionV relativeFrom="paragraph">
              <wp:posOffset>-813</wp:posOffset>
            </wp:positionV>
            <wp:extent cx="444130" cy="460248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3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BOA VISTA DO CADEADO - RS LEI DE DIRETRIZES ORÇAMENTÁRIAS</w:t>
      </w:r>
    </w:p>
    <w:p w:rsidR="00FE770C" w:rsidRDefault="00FB0322">
      <w:pPr>
        <w:pStyle w:val="Corpodetexto"/>
        <w:ind w:right="5204"/>
      </w:pPr>
      <w:r>
        <w:t>ANEXO I</w:t>
      </w:r>
    </w:p>
    <w:p w:rsidR="00FE770C" w:rsidRDefault="00FB0322">
      <w:pPr>
        <w:pStyle w:val="Corpodetexto"/>
        <w:spacing w:before="88"/>
        <w:ind w:right="5201"/>
      </w:pPr>
      <w:r>
        <w:t>("a" e "b") Previsão da Receita e da Despesa</w:t>
      </w:r>
    </w:p>
    <w:p w:rsidR="00FE770C" w:rsidRDefault="00FB0322">
      <w:pPr>
        <w:pStyle w:val="Corpodetexto"/>
        <w:spacing w:before="89" w:line="326" w:lineRule="auto"/>
        <w:ind w:left="4990" w:right="4959"/>
      </w:pPr>
      <w:r>
        <w:t>(Art. 12 da LC nº 101/2000 e art. 22, III, "a", "b" e "c" da Lei 4.320/64 ) 2021</w:t>
      </w:r>
    </w:p>
    <w:p w:rsidR="00FE770C" w:rsidRDefault="00FE770C">
      <w:pPr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01"/>
        <w:gridCol w:w="3616"/>
        <w:gridCol w:w="1280"/>
        <w:gridCol w:w="1315"/>
        <w:gridCol w:w="1288"/>
        <w:gridCol w:w="1314"/>
        <w:gridCol w:w="1288"/>
        <w:gridCol w:w="1287"/>
        <w:gridCol w:w="1290"/>
      </w:tblGrid>
      <w:tr w:rsidR="00FE770C">
        <w:trPr>
          <w:trHeight w:val="582"/>
        </w:trPr>
        <w:tc>
          <w:tcPr>
            <w:tcW w:w="1601" w:type="dxa"/>
            <w:vMerge w:val="restart"/>
            <w:tcBorders>
              <w:left w:val="nil"/>
            </w:tcBorders>
          </w:tcPr>
          <w:p w:rsidR="00FE770C" w:rsidRDefault="00FE770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FE770C" w:rsidRDefault="00FB0322">
            <w:pPr>
              <w:pStyle w:val="TableParagraph"/>
              <w:spacing w:before="139"/>
              <w:ind w:left="3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Classificação</w:t>
            </w:r>
          </w:p>
        </w:tc>
        <w:tc>
          <w:tcPr>
            <w:tcW w:w="3616" w:type="dxa"/>
            <w:vMerge w:val="restart"/>
          </w:tcPr>
          <w:p w:rsidR="00FE770C" w:rsidRDefault="00FE770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FE770C" w:rsidRDefault="00FB0322">
            <w:pPr>
              <w:pStyle w:val="TableParagraph"/>
              <w:spacing w:before="139"/>
              <w:ind w:left="1297" w:right="13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3883" w:type="dxa"/>
            <w:gridSpan w:val="3"/>
          </w:tcPr>
          <w:p w:rsidR="00FE770C" w:rsidRDefault="00FE770C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FE770C" w:rsidRDefault="00FB0322">
            <w:pPr>
              <w:pStyle w:val="TableParagraph"/>
              <w:spacing w:before="0"/>
              <w:ind w:left="11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Arrecadadas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117" w:line="271" w:lineRule="auto"/>
              <w:ind w:left="267" w:hanging="9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Previsão até o Término de</w:t>
            </w:r>
          </w:p>
        </w:tc>
        <w:tc>
          <w:tcPr>
            <w:tcW w:w="3865" w:type="dxa"/>
            <w:gridSpan w:val="3"/>
            <w:tcBorders>
              <w:right w:val="nil"/>
            </w:tcBorders>
          </w:tcPr>
          <w:p w:rsidR="00FE770C" w:rsidRDefault="00FE770C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FE770C" w:rsidRDefault="00FB0322">
            <w:pPr>
              <w:pStyle w:val="TableParagraph"/>
              <w:spacing w:before="0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Projeção para o exercício que se refere a Proposta</w:t>
            </w:r>
          </w:p>
        </w:tc>
      </w:tr>
      <w:tr w:rsidR="00FE770C">
        <w:trPr>
          <w:trHeight w:val="204"/>
        </w:trPr>
        <w:tc>
          <w:tcPr>
            <w:tcW w:w="1601" w:type="dxa"/>
            <w:vMerge/>
            <w:tcBorders>
              <w:top w:val="nil"/>
              <w:left w:val="nil"/>
            </w:tcBorders>
          </w:tcPr>
          <w:p w:rsidR="00FE770C" w:rsidRDefault="00FE770C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FE770C" w:rsidRDefault="00FE77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0" w:line="149" w:lineRule="exact"/>
              <w:ind w:left="440" w:right="4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0" w:line="149" w:lineRule="exact"/>
              <w:ind w:left="462" w:right="4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0" w:line="149" w:lineRule="exact"/>
              <w:ind w:left="445" w:right="4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0" w:line="149" w:lineRule="exact"/>
              <w:ind w:left="463" w:right="4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0" w:line="149" w:lineRule="exact"/>
              <w:ind w:left="448" w:right="4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287" w:type="dxa"/>
          </w:tcPr>
          <w:p w:rsidR="00FE770C" w:rsidRDefault="00FB0322">
            <w:pPr>
              <w:pStyle w:val="TableParagraph"/>
              <w:spacing w:before="0" w:line="149" w:lineRule="exact"/>
              <w:ind w:left="451" w:right="4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290" w:type="dxa"/>
            <w:tcBorders>
              <w:right w:val="nil"/>
            </w:tcBorders>
          </w:tcPr>
          <w:p w:rsidR="00FE770C" w:rsidRDefault="00FB0322">
            <w:pPr>
              <w:pStyle w:val="TableParagraph"/>
              <w:spacing w:before="0" w:line="149" w:lineRule="exact"/>
              <w:ind w:left="455" w:right="4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 ORÇAMENTÁRIA</w:t>
            </w:r>
          </w:p>
        </w:tc>
        <w:tc>
          <w:tcPr>
            <w:tcW w:w="1280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17.867.318,54</w:t>
            </w:r>
          </w:p>
        </w:tc>
        <w:tc>
          <w:tcPr>
            <w:tcW w:w="1315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20.571.723,59</w:t>
            </w:r>
          </w:p>
        </w:tc>
        <w:tc>
          <w:tcPr>
            <w:tcW w:w="1288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21.467.829,78</w:t>
            </w:r>
          </w:p>
        </w:tc>
        <w:tc>
          <w:tcPr>
            <w:tcW w:w="1314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18.270.000,00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19.000.000,00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19.680.000,00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20.000.000,00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 CORRENTES</w:t>
            </w:r>
          </w:p>
        </w:tc>
        <w:tc>
          <w:tcPr>
            <w:tcW w:w="1280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22.264.656,75</w:t>
            </w:r>
          </w:p>
        </w:tc>
        <w:tc>
          <w:tcPr>
            <w:tcW w:w="1315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23.840.905,22</w:t>
            </w:r>
          </w:p>
        </w:tc>
        <w:tc>
          <w:tcPr>
            <w:tcW w:w="1288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25.141.746,54</w:t>
            </w:r>
          </w:p>
        </w:tc>
        <w:tc>
          <w:tcPr>
            <w:tcW w:w="1314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20.840.707,60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21.693.804,43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22.470.242,63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22.897.022,15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Impostos, Taxas e Contribuições de Melhoria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1.483.284,19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2.202.183,89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2.329.162,99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1.252.301,97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1.305.274,34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1.351.803,16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1.357.494,11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Contribuições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Receita Patrimonial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353.340,02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222.321,09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228.302,66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229.335,21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236.804,27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245.281,86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248.572,39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1.4.0.0.00.1.1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Receita Agropecuária – Principal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1.5.0.0.00.1.1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Receita Industrial – Principal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Receita de Serviços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162.263,93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289.354,51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200.040,14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248.397,43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5"/>
                <w:sz w:val="14"/>
              </w:rPr>
              <w:t>251.813,42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9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260.828,34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264.644,34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Transferências Correntes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20.139.171,93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21.118.621,05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22.363.429,93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19.057.818,18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19.844.821,82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20.555.266,44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20.968.034,45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Outras Receitas Correntes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126.596,68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8.424,68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20.810,82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52.854,81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55.090,58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57.062,83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58.276,87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 DE CAPITAL</w:t>
            </w:r>
          </w:p>
        </w:tc>
        <w:tc>
          <w:tcPr>
            <w:tcW w:w="1280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50.626,84</w:t>
            </w:r>
          </w:p>
        </w:tc>
        <w:tc>
          <w:tcPr>
            <w:tcW w:w="1315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252.162,21</w:t>
            </w:r>
          </w:p>
        </w:tc>
        <w:tc>
          <w:tcPr>
            <w:tcW w:w="1288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165.692,07</w:t>
            </w:r>
          </w:p>
        </w:tc>
        <w:tc>
          <w:tcPr>
            <w:tcW w:w="1314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587.104,17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spacing w:befor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597.582,78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618.976,24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2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627.428,33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Operações de Crédito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Alienação de Bens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106.650,00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68.103,13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74.676,39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77.349,80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78.964,22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Amortização de Empréstimos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50.626,84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48.012,21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59.889,45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80.769,23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82.584,83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85.541,37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87.432,67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Transferências de Capital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97.500,00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105.802,62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438.231,81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440.321,56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456.085,07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461.031,44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4"/>
              <w:ind w:left="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Outras Receitas de Capital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9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 CORRENTES INTRA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 DE CAPITAL INTRA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16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shd w:val="clear" w:color="auto" w:fill="D7D7D7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959595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E770C">
        <w:trPr>
          <w:trHeight w:val="218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DEDUÇÃO DA RECEITA ( R )</w:t>
            </w:r>
          </w:p>
        </w:tc>
        <w:tc>
          <w:tcPr>
            <w:tcW w:w="1280" w:type="dxa"/>
            <w:shd w:val="clear" w:color="auto" w:fill="808080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4.447.965,05</w:t>
            </w:r>
          </w:p>
        </w:tc>
        <w:tc>
          <w:tcPr>
            <w:tcW w:w="1315" w:type="dxa"/>
            <w:shd w:val="clear" w:color="auto" w:fill="808080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3.521.343,84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3.839.608,83</w:t>
            </w:r>
          </w:p>
        </w:tc>
        <w:tc>
          <w:tcPr>
            <w:tcW w:w="1314" w:type="dxa"/>
            <w:shd w:val="clear" w:color="auto" w:fill="808080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3.157.811,77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3.291.387,21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3.409.218,87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3.524.450,47</w:t>
            </w:r>
          </w:p>
        </w:tc>
      </w:tr>
    </w:tbl>
    <w:p w:rsidR="00FE770C" w:rsidRDefault="00FE770C">
      <w:pPr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01"/>
        <w:gridCol w:w="3616"/>
        <w:gridCol w:w="1280"/>
        <w:gridCol w:w="1315"/>
        <w:gridCol w:w="1288"/>
        <w:gridCol w:w="1314"/>
        <w:gridCol w:w="1288"/>
        <w:gridCol w:w="1287"/>
        <w:gridCol w:w="1290"/>
      </w:tblGrid>
      <w:tr w:rsidR="00FE770C">
        <w:trPr>
          <w:trHeight w:val="218"/>
        </w:trPr>
        <w:tc>
          <w:tcPr>
            <w:tcW w:w="1601" w:type="dxa"/>
            <w:vMerge w:val="restart"/>
            <w:tcBorders>
              <w:left w:val="nil"/>
            </w:tcBorders>
          </w:tcPr>
          <w:p w:rsidR="00FE770C" w:rsidRDefault="00FE770C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:rsidR="00FE770C" w:rsidRDefault="00FB0322">
            <w:pPr>
              <w:pStyle w:val="TableParagraph"/>
              <w:spacing w:before="0"/>
              <w:ind w:left="3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Classificação</w:t>
            </w:r>
          </w:p>
        </w:tc>
        <w:tc>
          <w:tcPr>
            <w:tcW w:w="3616" w:type="dxa"/>
            <w:vMerge w:val="restart"/>
          </w:tcPr>
          <w:p w:rsidR="00FE770C" w:rsidRDefault="00FE770C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:rsidR="00FE770C" w:rsidRDefault="00FB0322">
            <w:pPr>
              <w:pStyle w:val="TableParagraph"/>
              <w:spacing w:before="0"/>
              <w:ind w:left="1297" w:right="13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3883" w:type="dxa"/>
            <w:gridSpan w:val="3"/>
          </w:tcPr>
          <w:p w:rsidR="00FE770C" w:rsidRDefault="00FB0322">
            <w:pPr>
              <w:pStyle w:val="TableParagraph"/>
              <w:spacing w:before="16"/>
              <w:ind w:left="12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Realizadas</w:t>
            </w:r>
          </w:p>
        </w:tc>
        <w:tc>
          <w:tcPr>
            <w:tcW w:w="5179" w:type="dxa"/>
            <w:gridSpan w:val="4"/>
            <w:tcBorders>
              <w:right w:val="nil"/>
            </w:tcBorders>
          </w:tcPr>
          <w:p w:rsidR="00FE770C" w:rsidRDefault="00FB0322">
            <w:pPr>
              <w:pStyle w:val="TableParagraph"/>
              <w:spacing w:before="16"/>
              <w:ind w:left="1855" w:right="18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Despesas Projetadas</w:t>
            </w:r>
          </w:p>
        </w:tc>
      </w:tr>
      <w:tr w:rsidR="00FE770C">
        <w:trPr>
          <w:trHeight w:val="219"/>
        </w:trPr>
        <w:tc>
          <w:tcPr>
            <w:tcW w:w="1601" w:type="dxa"/>
            <w:vMerge/>
            <w:tcBorders>
              <w:top w:val="nil"/>
              <w:left w:val="nil"/>
            </w:tcBorders>
          </w:tcPr>
          <w:p w:rsidR="00FE770C" w:rsidRDefault="00FE770C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FE770C" w:rsidRDefault="00FE77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left="440" w:right="4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left="462" w:right="4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left="445" w:right="4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ind w:left="463" w:right="4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left="448" w:right="4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1287" w:type="dxa"/>
          </w:tcPr>
          <w:p w:rsidR="00FE770C" w:rsidRDefault="00FB0322">
            <w:pPr>
              <w:pStyle w:val="TableParagraph"/>
              <w:ind w:left="451" w:right="4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290" w:type="dxa"/>
            <w:tcBorders>
              <w:right w:val="nil"/>
            </w:tcBorders>
          </w:tcPr>
          <w:p w:rsidR="00FE770C" w:rsidRDefault="00FB0322">
            <w:pPr>
              <w:pStyle w:val="TableParagraph"/>
              <w:ind w:left="455" w:right="4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6"/>
              <w:ind w:left="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1280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16.811.111,22</w:t>
            </w:r>
          </w:p>
        </w:tc>
        <w:tc>
          <w:tcPr>
            <w:tcW w:w="1315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18.675.615,37</w:t>
            </w:r>
          </w:p>
        </w:tc>
        <w:tc>
          <w:tcPr>
            <w:tcW w:w="1288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21.598.197,84</w:t>
            </w:r>
          </w:p>
        </w:tc>
        <w:tc>
          <w:tcPr>
            <w:tcW w:w="1314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18.270.000,00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spacing w:befor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19.000.000,00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-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19.680.000,00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6"/>
              <w:ind w:right="2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20.000.000,00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spacing w:before="29"/>
              <w:ind w:left="6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15.584.006,85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17.119.518,22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18.580.400,17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spacing w:before="29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15.582.065,03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5"/>
                <w:sz w:val="14"/>
              </w:rPr>
              <w:t>16.195.315,20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spacing w:before="29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16.774.907,48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spacing w:before="29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17.009.896,21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ind w:left="6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1.227.104,37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1.556.097,15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3.017.797,67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2.413.884,97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2.519.684,80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2.609.889,52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2.690.103,79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ind w:left="6"/>
              <w:jc w:val="left"/>
              <w:rPr>
                <w:sz w:val="14"/>
              </w:rPr>
            </w:pPr>
            <w:r>
              <w:rPr>
                <w:sz w:val="14"/>
              </w:rPr>
              <w:t>Reserva Contingência RPPS</w:t>
            </w:r>
          </w:p>
        </w:tc>
        <w:tc>
          <w:tcPr>
            <w:tcW w:w="1280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D7D7D7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E770C">
        <w:trPr>
          <w:trHeight w:val="219"/>
        </w:trPr>
        <w:tc>
          <w:tcPr>
            <w:tcW w:w="1601" w:type="dxa"/>
            <w:tcBorders>
              <w:left w:val="nil"/>
            </w:tcBorders>
          </w:tcPr>
          <w:p w:rsidR="00FE770C" w:rsidRDefault="00FB0322">
            <w:pPr>
              <w:pStyle w:val="TableParagraph"/>
              <w:spacing w:before="24"/>
              <w:ind w:left="300" w:righ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9.0.0.0.00.0.0</w:t>
            </w:r>
          </w:p>
        </w:tc>
        <w:tc>
          <w:tcPr>
            <w:tcW w:w="3616" w:type="dxa"/>
          </w:tcPr>
          <w:p w:rsidR="00FE770C" w:rsidRDefault="00FB0322">
            <w:pPr>
              <w:pStyle w:val="TableParagraph"/>
              <w:ind w:left="6"/>
              <w:jc w:val="left"/>
              <w:rPr>
                <w:sz w:val="14"/>
              </w:rPr>
            </w:pPr>
            <w:r>
              <w:rPr>
                <w:sz w:val="14"/>
              </w:rPr>
              <w:t>Reserva Contingência</w:t>
            </w:r>
          </w:p>
        </w:tc>
        <w:tc>
          <w:tcPr>
            <w:tcW w:w="1280" w:type="dxa"/>
            <w:shd w:val="clear" w:color="auto" w:fill="808080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5" w:type="dxa"/>
            <w:shd w:val="clear" w:color="auto" w:fill="808080"/>
          </w:tcPr>
          <w:p w:rsidR="00FE770C" w:rsidRDefault="00FB0322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4" w:type="dxa"/>
            <w:shd w:val="clear" w:color="auto" w:fill="808080"/>
          </w:tcPr>
          <w:p w:rsidR="00FE770C" w:rsidRDefault="00FB0322"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274.050,00</w:t>
            </w:r>
          </w:p>
        </w:tc>
        <w:tc>
          <w:tcPr>
            <w:tcW w:w="1288" w:type="dxa"/>
            <w:shd w:val="clear" w:color="auto" w:fill="808080"/>
          </w:tcPr>
          <w:p w:rsidR="00FE770C" w:rsidRDefault="00FB0322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285.000,00</w:t>
            </w:r>
          </w:p>
        </w:tc>
        <w:tc>
          <w:tcPr>
            <w:tcW w:w="1287" w:type="dxa"/>
            <w:shd w:val="clear" w:color="auto" w:fill="959595"/>
          </w:tcPr>
          <w:p w:rsidR="00FE770C" w:rsidRDefault="00FB0322"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295.203,00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959595"/>
          </w:tcPr>
          <w:p w:rsidR="00FE770C" w:rsidRDefault="00FB0322">
            <w:pPr>
              <w:pStyle w:val="TableParagraph"/>
              <w:ind w:right="20"/>
              <w:rPr>
                <w:sz w:val="14"/>
              </w:rPr>
            </w:pPr>
            <w:r>
              <w:rPr>
                <w:w w:val="95"/>
                <w:sz w:val="14"/>
              </w:rPr>
              <w:t>300.000,00</w:t>
            </w:r>
          </w:p>
        </w:tc>
      </w:tr>
    </w:tbl>
    <w:p w:rsidR="00FE770C" w:rsidRDefault="00FB0322">
      <w:pPr>
        <w:pStyle w:val="Corpodetexto"/>
        <w:spacing w:before="10"/>
        <w:ind w:left="151"/>
        <w:jc w:val="left"/>
      </w:pPr>
      <w:r>
        <w:t>FONTE: Planejamento - LDO 2.027/001, Secretaria Municipal de Administração, Planejamento e Fazenda, 03/08/2020, 11:21:01</w:t>
      </w:r>
    </w:p>
    <w:p w:rsidR="00FE770C" w:rsidRDefault="00FE770C">
      <w:pPr>
        <w:sectPr w:rsidR="00FE770C">
          <w:type w:val="continuous"/>
          <w:pgSz w:w="16840" w:h="11910" w:orient="landscape"/>
          <w:pgMar w:top="920" w:right="1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1601"/>
        <w:gridCol w:w="3608"/>
        <w:gridCol w:w="3752"/>
        <w:gridCol w:w="5240"/>
      </w:tblGrid>
      <w:tr w:rsidR="00FE770C">
        <w:trPr>
          <w:trHeight w:val="202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0" w:line="156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Abaixo seguem dados do Sistema de Expectativas de Mercado, séries de estatísticas consolidadas, sobre a variação do indicador econômico IPCA ( 2018 á 2023) do Banco Central do Brasil - BCB datado em</w:t>
            </w:r>
          </w:p>
        </w:tc>
      </w:tr>
      <w:tr w:rsidR="00FE770C">
        <w:trPr>
          <w:trHeight w:val="312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42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12.05.2017 que compõem os índices do Plano Plurianual - </w:t>
            </w:r>
            <w:r>
              <w:rPr>
                <w:sz w:val="14"/>
              </w:rPr>
              <w:t>PPA 2018 á 2021 e o índices da Leis de Diretrizes Orçamentárias - LDO 2022 datado de 05.07.2019 e LDO 2023 datada de 31.07.2020 do Município.</w:t>
            </w:r>
          </w:p>
        </w:tc>
      </w:tr>
      <w:tr w:rsidR="00FE770C">
        <w:trPr>
          <w:trHeight w:val="274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4" w:line="151" w:lineRule="exact"/>
              <w:ind w:left="1901"/>
              <w:jc w:val="left"/>
              <w:rPr>
                <w:sz w:val="14"/>
              </w:rPr>
            </w:pPr>
            <w:r>
              <w:rPr>
                <w:sz w:val="14"/>
              </w:rPr>
              <w:t>1. Quadro da variação do IPCA 2018 á 2023</w:t>
            </w: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Variação do IPCA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4"/>
              <w:jc w:val="center"/>
              <w:rPr>
                <w:sz w:val="14"/>
              </w:rPr>
            </w:pPr>
            <w:r>
              <w:rPr>
                <w:sz w:val="14"/>
              </w:rPr>
              <w:t>Percentual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02"/>
              <w:jc w:val="left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630" w:right="599"/>
              <w:jc w:val="center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3"/>
              <w:jc w:val="center"/>
              <w:rPr>
                <w:sz w:val="14"/>
              </w:rPr>
            </w:pPr>
            <w:r>
              <w:rPr>
                <w:sz w:val="14"/>
              </w:rPr>
              <w:t>4,32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1,0432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630" w:right="599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3"/>
              <w:jc w:val="center"/>
              <w:rPr>
                <w:sz w:val="14"/>
              </w:rPr>
            </w:pPr>
            <w:r>
              <w:rPr>
                <w:sz w:val="14"/>
              </w:rPr>
              <w:t>4,33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1,0433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630" w:right="599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3"/>
              <w:jc w:val="center"/>
              <w:rPr>
                <w:sz w:val="14"/>
              </w:rPr>
            </w:pPr>
            <w:r>
              <w:rPr>
                <w:sz w:val="14"/>
              </w:rPr>
              <w:t>4,23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1,0423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630" w:right="599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3"/>
              <w:jc w:val="center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1,0400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630" w:right="599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3"/>
              <w:jc w:val="center"/>
              <w:rPr>
                <w:sz w:val="14"/>
              </w:rPr>
            </w:pPr>
            <w:r>
              <w:rPr>
                <w:sz w:val="14"/>
              </w:rPr>
              <w:t>3,58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1,0358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16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630" w:right="599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1454" w:right="1423"/>
              <w:jc w:val="center"/>
              <w:rPr>
                <w:sz w:val="14"/>
              </w:rPr>
            </w:pPr>
            <w:r>
              <w:rPr>
                <w:sz w:val="14"/>
              </w:rPr>
              <w:t>3,38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70C" w:rsidRDefault="00FB0322">
            <w:pPr>
              <w:pStyle w:val="TableParagraph"/>
              <w:spacing w:before="1" w:line="146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1,0338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FE770C">
        <w:trPr>
          <w:trHeight w:val="267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0" w:line="158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Fonte: BCB, 2017, BCB, 2019 e BCB 2020.</w:t>
            </w:r>
          </w:p>
        </w:tc>
      </w:tr>
      <w:tr w:rsidR="00FE770C">
        <w:trPr>
          <w:trHeight w:val="374"/>
        </w:trPr>
        <w:tc>
          <w:tcPr>
            <w:tcW w:w="1601" w:type="dxa"/>
          </w:tcPr>
          <w:p w:rsidR="00FE770C" w:rsidRDefault="00FB0322">
            <w:pPr>
              <w:pStyle w:val="TableParagraph"/>
              <w:spacing w:before="104"/>
              <w:ind w:left="36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Metodologia de</w:t>
            </w:r>
            <w:r>
              <w:rPr>
                <w:b/>
                <w:spacing w:val="-27"/>
                <w:sz w:val="14"/>
              </w:rPr>
              <w:t xml:space="preserve"> </w:t>
            </w:r>
            <w:r>
              <w:rPr>
                <w:b/>
                <w:sz w:val="14"/>
              </w:rPr>
              <w:t>cálculo:</w:t>
            </w:r>
          </w:p>
        </w:tc>
        <w:tc>
          <w:tcPr>
            <w:tcW w:w="3608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52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4"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a) analisando as receitas arrecadadas e as despesas realizadas no período de 2017 á 2019 conforme Anexo I, nota-se que os dois primeiros Exercícios foram superavitários mediante a relação entre suas receitas e despesas</w:t>
            </w:r>
          </w:p>
        </w:tc>
      </w:tr>
      <w:tr w:rsidR="00FE770C">
        <w:trPr>
          <w:trHeight w:val="187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"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apresentando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resultado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acumulado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2.952.3154,54,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enquanto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terceiro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deficitário,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superaram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-130.368,06,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entanto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houve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cobertura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deficit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superávit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de Exercícios Anteriores. Demonstrando assim, certa prudência e eficiência no controle orçamentário e financeiro do Municipio, bem como a observância da legalidade das ações mediante legislativo e orgõos fiscalizadores.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4"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b) analisando as previsões das receitas a serem arrecadadas e das despesas a serem realizadas para 2020 projetou-se um equilíbrio orçamentário e financeiro para o Município, sendo está projetada para os Exercícios</w:t>
            </w:r>
          </w:p>
        </w:tc>
      </w:tr>
      <w:tr w:rsidR="00FE770C">
        <w:trPr>
          <w:trHeight w:val="206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de 2021 á 2023. Portanto, com base na méd</w:t>
            </w:r>
            <w:r>
              <w:rPr>
                <w:sz w:val="14"/>
              </w:rPr>
              <w:t>ia dos últimos três exercícios encerrados multiplicado pelo número do IPCA de 2020 (1,0423), de 2021 (1,0400), de 2022 (1,0358) e de 2023 (1,0338) e mais alguns ajustes conforme</w:t>
            </w:r>
          </w:p>
        </w:tc>
      </w:tr>
      <w:tr w:rsidR="00FE770C">
        <w:trPr>
          <w:trHeight w:val="206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29" w:line="157" w:lineRule="exact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quadro 1 obtem-se o valor de cada receita ou despesa para o Exercício pretend</w:t>
            </w:r>
            <w:r>
              <w:rPr>
                <w:sz w:val="14"/>
              </w:rPr>
              <w:t>ido. Entretanto havendo variações com previsões de percentuais e valores mais confiáveis podem ser adotados afim de modificar o orçamento</w:t>
            </w:r>
          </w:p>
        </w:tc>
      </w:tr>
      <w:tr w:rsidR="00FE770C">
        <w:trPr>
          <w:trHeight w:val="281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do Município para mais ou para menos sempre obsevando a prudência e a legalidade da ação.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4"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c) analisando a reserva de</w:t>
            </w:r>
            <w:r>
              <w:rPr>
                <w:sz w:val="14"/>
              </w:rPr>
              <w:t xml:space="preserve"> contingência destaca-se que fora projetado o percentual de 1,5% do orçamento para cada Exercício futuro conforme Anexo I. Salienta-se que dos Exercícios encerrados em nenhum foi neces-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sária a utilização dos valores da reserva de contingência. Demonstrando com isto que o orçamento está em constante equilíbrio tanto orçamentariamente como financeiramente.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4"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d) destaca-se a observância aos índices constitucionais das áreas de saúde 15% em A</w:t>
            </w:r>
            <w:r>
              <w:rPr>
                <w:sz w:val="14"/>
              </w:rPr>
              <w:t>ções em Serviços Públicos de Saúde - ASPS e educação 25% em Manutenção e Desenvolvimento da Educação - MDE. Além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dos índices do Fundo de Manutenção e Desenvol da Educa Básica e Valoriza dos Profissionais da Educação - FUNDEB: no mínimo 60% para remuneraçã</w:t>
            </w:r>
            <w:r>
              <w:rPr>
                <w:sz w:val="14"/>
              </w:rPr>
              <w:t>o do magistério e 40% para outros gastos na área da educação.</w:t>
            </w:r>
          </w:p>
        </w:tc>
      </w:tr>
      <w:tr w:rsidR="00FE770C">
        <w:trPr>
          <w:trHeight w:val="280"/>
        </w:trPr>
        <w:tc>
          <w:tcPr>
            <w:tcW w:w="14201" w:type="dxa"/>
            <w:gridSpan w:val="4"/>
          </w:tcPr>
          <w:p w:rsidR="00FE770C" w:rsidRDefault="00FB0322">
            <w:pPr>
              <w:pStyle w:val="TableParagraph"/>
              <w:spacing w:before="104"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e) conclui-se haver equilíbrio entre receitas e despesas para a LDO 2021 segundo a projeção prudencial para o perfeito atendimento dos programas de governo e o atingimento do desenvolvimento da</w:t>
            </w:r>
            <w:r>
              <w:rPr>
                <w:sz w:val="14"/>
              </w:rPr>
              <w:t>s ações para o bem</w:t>
            </w:r>
          </w:p>
        </w:tc>
      </w:tr>
      <w:tr w:rsidR="00FE770C">
        <w:trPr>
          <w:trHeight w:val="467"/>
        </w:trPr>
        <w:tc>
          <w:tcPr>
            <w:tcW w:w="1601" w:type="dxa"/>
          </w:tcPr>
          <w:p w:rsidR="00FE770C" w:rsidRDefault="00FB0322">
            <w:pPr>
              <w:pStyle w:val="TableParagraph"/>
              <w:spacing w:before="1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comum da população do</w:t>
            </w:r>
          </w:p>
        </w:tc>
        <w:tc>
          <w:tcPr>
            <w:tcW w:w="3608" w:type="dxa"/>
          </w:tcPr>
          <w:p w:rsidR="00FE770C" w:rsidRDefault="00FB0322">
            <w:pPr>
              <w:pStyle w:val="TableParagraph"/>
              <w:spacing w:before="10"/>
              <w:ind w:left="-7"/>
              <w:jc w:val="left"/>
              <w:rPr>
                <w:sz w:val="14"/>
              </w:rPr>
            </w:pPr>
            <w:r>
              <w:rPr>
                <w:sz w:val="14"/>
              </w:rPr>
              <w:t>Município.</w:t>
            </w:r>
          </w:p>
        </w:tc>
        <w:tc>
          <w:tcPr>
            <w:tcW w:w="3752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E770C">
        <w:trPr>
          <w:trHeight w:val="668"/>
        </w:trPr>
        <w:tc>
          <w:tcPr>
            <w:tcW w:w="14201" w:type="dxa"/>
            <w:gridSpan w:val="4"/>
          </w:tcPr>
          <w:p w:rsidR="00FE770C" w:rsidRDefault="00FE770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FE770C" w:rsidRDefault="00FB0322">
            <w:pPr>
              <w:pStyle w:val="TableParagraph"/>
              <w:spacing w:before="106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Boa Vista do Cadeado - RS, 03 de agosto de 2020.</w:t>
            </w:r>
          </w:p>
        </w:tc>
      </w:tr>
      <w:tr w:rsidR="00FE770C">
        <w:trPr>
          <w:trHeight w:val="402"/>
        </w:trPr>
        <w:tc>
          <w:tcPr>
            <w:tcW w:w="1601" w:type="dxa"/>
          </w:tcPr>
          <w:p w:rsidR="00FE770C" w:rsidRDefault="00FE770C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FE770C" w:rsidRDefault="00FB0322">
            <w:pPr>
              <w:pStyle w:val="TableParagraph"/>
              <w:spacing w:before="0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Fabio Mayer Barasuol,</w:t>
            </w:r>
          </w:p>
        </w:tc>
        <w:tc>
          <w:tcPr>
            <w:tcW w:w="3608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52" w:type="dxa"/>
          </w:tcPr>
          <w:p w:rsidR="00FE770C" w:rsidRDefault="00FE770C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FE770C" w:rsidRDefault="00FB0322">
            <w:pPr>
              <w:pStyle w:val="TableParagraph"/>
              <w:spacing w:before="0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Vanessa dos Santos Xavier Padilha,</w:t>
            </w:r>
          </w:p>
        </w:tc>
        <w:tc>
          <w:tcPr>
            <w:tcW w:w="5240" w:type="dxa"/>
          </w:tcPr>
          <w:p w:rsidR="00FE770C" w:rsidRDefault="00FE770C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:rsidR="00FE770C" w:rsidRDefault="00FB0322">
            <w:pPr>
              <w:pStyle w:val="TableParagraph"/>
              <w:spacing w:before="0"/>
              <w:ind w:left="1492"/>
              <w:jc w:val="left"/>
              <w:rPr>
                <w:sz w:val="14"/>
              </w:rPr>
            </w:pPr>
            <w:r>
              <w:rPr>
                <w:sz w:val="14"/>
              </w:rPr>
              <w:t>Fabio da Silva Weischung,</w:t>
            </w:r>
          </w:p>
        </w:tc>
      </w:tr>
      <w:tr w:rsidR="00FE770C">
        <w:trPr>
          <w:trHeight w:val="208"/>
        </w:trPr>
        <w:tc>
          <w:tcPr>
            <w:tcW w:w="1601" w:type="dxa"/>
          </w:tcPr>
          <w:p w:rsidR="00FE770C" w:rsidRDefault="00FB0322">
            <w:pPr>
              <w:pStyle w:val="TableParagraph"/>
              <w:spacing w:before="2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Prefeito Municipal.</w:t>
            </w:r>
          </w:p>
        </w:tc>
        <w:tc>
          <w:tcPr>
            <w:tcW w:w="3608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52" w:type="dxa"/>
          </w:tcPr>
          <w:p w:rsidR="00FE770C" w:rsidRDefault="00FB0322">
            <w:pPr>
              <w:pStyle w:val="TableParagraph"/>
              <w:spacing w:before="23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Sec. Adm. Planej e Fazenda.</w:t>
            </w:r>
          </w:p>
        </w:tc>
        <w:tc>
          <w:tcPr>
            <w:tcW w:w="5240" w:type="dxa"/>
          </w:tcPr>
          <w:p w:rsidR="00FE770C" w:rsidRDefault="00FB0322">
            <w:pPr>
              <w:pStyle w:val="TableParagraph"/>
              <w:spacing w:before="23"/>
              <w:ind w:left="1492"/>
              <w:jc w:val="left"/>
              <w:rPr>
                <w:sz w:val="14"/>
              </w:rPr>
            </w:pPr>
            <w:r>
              <w:rPr>
                <w:sz w:val="14"/>
              </w:rPr>
              <w:t>Técnico em Contabilidade.</w:t>
            </w:r>
          </w:p>
        </w:tc>
      </w:tr>
      <w:tr w:rsidR="00FE770C">
        <w:trPr>
          <w:trHeight w:val="179"/>
        </w:trPr>
        <w:tc>
          <w:tcPr>
            <w:tcW w:w="1601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08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52" w:type="dxa"/>
          </w:tcPr>
          <w:p w:rsidR="00FE770C" w:rsidRDefault="00FE770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40" w:type="dxa"/>
          </w:tcPr>
          <w:p w:rsidR="00FE770C" w:rsidRDefault="00FB0322">
            <w:pPr>
              <w:pStyle w:val="TableParagraph"/>
              <w:spacing w:before="19" w:line="141" w:lineRule="exact"/>
              <w:ind w:left="1492"/>
              <w:jc w:val="left"/>
              <w:rPr>
                <w:sz w:val="14"/>
              </w:rPr>
            </w:pPr>
            <w:r>
              <w:rPr>
                <w:sz w:val="14"/>
              </w:rPr>
              <w:t>CRC/RS 076956-7</w:t>
            </w:r>
          </w:p>
        </w:tc>
      </w:tr>
    </w:tbl>
    <w:p w:rsidR="00FE770C" w:rsidRDefault="00FE770C">
      <w:pPr>
        <w:rPr>
          <w:sz w:val="2"/>
          <w:szCs w:val="2"/>
        </w:rPr>
      </w:pPr>
      <w:r w:rsidRPr="00FE770C">
        <w:pict>
          <v:rect id="_x0000_s1026" style="position:absolute;margin-left:381.65pt;margin-top:82.8pt;width:.85pt;height:65.5pt;z-index:-251658240;mso-position-horizontal-relative:page;mso-position-vertical-relative:page" fillcolor="black" stroked="f">
            <w10:wrap anchorx="page" anchory="page"/>
          </v:rect>
        </w:pict>
      </w:r>
    </w:p>
    <w:sectPr w:rsidR="00FE770C" w:rsidSect="00FE770C">
      <w:pgSz w:w="16840" w:h="11910" w:orient="landscape"/>
      <w:pgMar w:top="84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E770C"/>
    <w:rsid w:val="00FB0322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70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770C"/>
    <w:pPr>
      <w:ind w:left="5231"/>
      <w:jc w:val="center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  <w:rsid w:val="00FE770C"/>
  </w:style>
  <w:style w:type="paragraph" w:customStyle="1" w:styleId="TableParagraph">
    <w:name w:val="Table Paragraph"/>
    <w:basedOn w:val="Normal"/>
    <w:uiPriority w:val="1"/>
    <w:qFormat/>
    <w:rsid w:val="00FE770C"/>
    <w:pPr>
      <w:spacing w:before="28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2020-09-01T16:36:00Z</dcterms:created>
  <dcterms:modified xsi:type="dcterms:W3CDTF">2020-09-01T16:36:00Z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